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37741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5498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46173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5D55EF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43" w:leftChars="304" w:right="0" w:rightChars="0" w:hanging="1205" w:hangingChars="300"/>
        <w:jc w:val="center"/>
        <w:rPr>
          <w:rStyle w:val="26"/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监控零配件一批采购项目询价采购清单</w:t>
      </w:r>
    </w:p>
    <w:p w14:paraId="29367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</w:p>
    <w:tbl>
      <w:tblPr>
        <w:tblStyle w:val="12"/>
        <w:tblW w:w="10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7"/>
        <w:gridCol w:w="3874"/>
        <w:gridCol w:w="525"/>
        <w:gridCol w:w="539"/>
        <w:gridCol w:w="887"/>
        <w:gridCol w:w="938"/>
        <w:gridCol w:w="2361"/>
      </w:tblGrid>
      <w:tr w14:paraId="3854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0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2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产品大类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C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关键参数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4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7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E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20882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3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 w14:paraId="5A4FB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7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产品图片（参考）</w:t>
            </w:r>
          </w:p>
        </w:tc>
      </w:tr>
      <w:tr w14:paraId="681C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B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F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：筒型网络摄像机；是否支持全彩：支持；分辨率：分辨率不低于200万像素，支持：移动侦测、与异常侦测支持背光补偿，3D数字降噪，数字宽动态，强光抑制，适应不同环境支持智能补光，可实现彩色记录报警事件，支持白光补光/红外补光模式之间切换；内置一个麦克风；IP67防护等级，支持POE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4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A06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4E4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仿宋_GB2312" w:eastAsia="微软雅黑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0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微软雅黑" w:hAnsi="等线" w:eastAsia="微软雅黑" w:cs="等线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微软雅黑" w:hAnsi="等线" w:eastAsia="微软雅黑" w:cs="等线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6350</wp:posOffset>
                  </wp:positionV>
                  <wp:extent cx="1079500" cy="1080135"/>
                  <wp:effectExtent l="0" t="0" r="6350" b="5715"/>
                  <wp:wrapNone/>
                  <wp:docPr id="5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CE8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E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7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2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摄像机，类型：海螺型；全彩：支持；分辨率：不低于200万像素，智能功能：支持持移动侦测、异常侦测支持背光补偿，数字宽动态强光抑制，3D数字降噪，适应不同环境智能补光，支持白光/红外双补光，支持30m红外光，20m白光补光；内置1个麦克风；符合IP67防尘防水设计，支持POE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1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7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BB5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CA8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3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等线" w:eastAsia="微软雅黑" w:cs="等线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微软雅黑" w:hAnsi="等线" w:eastAsia="微软雅黑" w:cs="等线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213360</wp:posOffset>
                  </wp:positionV>
                  <wp:extent cx="1079500" cy="802640"/>
                  <wp:effectExtent l="0" t="0" r="6350" b="16510"/>
                  <wp:wrapNone/>
                  <wp:docPr id="8" name="Picture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5AB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D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A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球机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E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高清网络球机；支持区域入侵侦测，越界侦测，进入区域侦测和离开区域侦测等智能侦测采用高效补光阵列，低功耗，红外补光150 m；内置加热玻璃，有效除雾支持超低照度，0.005 Lux @F1.6（彩色），0.001 Lux @F1.6（黑白），0 Lux with IR支持23倍光学变倍，16倍数字变倍支持三码流技术，每路码流可独立配置分辨率及帧率支持3D数字降噪，支持真宽动态支持定时抓图与事件抓图功能支持定时任务，一键守望，一键巡航功能，</w:t>
            </w:r>
          </w:p>
          <w:p w14:paraId="66D6D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★分辨力不小于1100线（分辨率设置为1920×1080，帧率设置为25fps、码率设置为2Mbps、RJ45输出），采用红外补光的球机：可识别距设备180m的人体轮廓（以公安部检验报告加盖原厂公章为准）</w:t>
            </w:r>
          </w:p>
          <w:p w14:paraId="7B6FF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光学变倍大于23倍，焦距不小于113.2mm</w:t>
            </w:r>
          </w:p>
          <w:p w14:paraId="78D85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★最低照度：彩色≤0.0003Lux，黑白模式≤0.0001Lux（AGC ON、RJ45输出、应能分辨反射式视频矩阵测试卡中的彩色色块）（以公安部检验报告加盖原厂公章为准）</w:t>
            </w:r>
          </w:p>
          <w:p w14:paraId="1EB12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应具有600个预置位，可按照所设置的预置位完成32条巡航路径，可按照所设置轨迹完成32条模式路径；在控制云镜时，可实现RS485接口优先或RJ45网络接口优先控制功能（以公安部检验报告加盖原厂公章为准）开放型网络视频接口，ISAPI，GB/T28181，ISUP最大支持512 GB MicroSD卡存储IP66，抗干扰能力强，适用于严酷的电磁环境，符合GB/T17626.2/3/4/5/6四级标准</w:t>
            </w:r>
          </w:p>
          <w:p w14:paraId="61A6E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6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E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2B2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447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D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等线" w:eastAsia="微软雅黑" w:cs="等线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微软雅黑" w:hAnsi="等线" w:eastAsia="微软雅黑" w:cs="等线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221615</wp:posOffset>
                  </wp:positionV>
                  <wp:extent cx="1079500" cy="1080135"/>
                  <wp:effectExtent l="0" t="0" r="6350" b="5715"/>
                  <wp:wrapNone/>
                  <wp:docPr id="4" name="Picture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1B8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B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7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16口千兆POE交换机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1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个千兆PoE电口，1个千兆电口，1个千兆光口交换容量：56Gbps，包转发率：41.66Mpps符合IEEE802.3af/at供电标准，整机PoE功率130WPD功率智能检测系统级过载保护支持PoE看门狗，故障终端自动重支持海康云商APP管理，一个APP管理安防和网络APP展示网络拓扑、链路拥塞定位、重启PoE、配置VLAN支持6KV防浪涌支持机架式安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4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3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332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446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1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等线" w:eastAsia="微软雅黑" w:cs="等线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微软雅黑" w:hAnsi="等线" w:eastAsia="微软雅黑" w:cs="等线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577850</wp:posOffset>
                  </wp:positionV>
                  <wp:extent cx="1079500" cy="367665"/>
                  <wp:effectExtent l="0" t="0" r="6350" b="13335"/>
                  <wp:wrapNone/>
                  <wp:docPr id="9" name="Picture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8F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A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7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16口千兆交换机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5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不少于16个千兆电口；交换容量：≥32Gbps，包转发率：≥22Mpps；IPC带机数不低于100路（200W），80路（400W）；金属外壳：高强度金属；支持机架式安装（1U，13英寸）；即插即用，无需配置；支持6KV防浪涌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F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A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2D4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FE9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8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等线" w:eastAsia="微软雅黑" w:cs="等线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微软雅黑" w:hAnsi="等线" w:eastAsia="微软雅黑" w:cs="等线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6985</wp:posOffset>
                  </wp:positionV>
                  <wp:extent cx="1079500" cy="897890"/>
                  <wp:effectExtent l="0" t="0" r="6350" b="16510"/>
                  <wp:wrapNone/>
                  <wp:docPr id="10" name="Picture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1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1A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1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D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电梯网桥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C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500米电梯网桥；支持：智能识别终端 终端准入管控可靠：无线抗干扰 故障可自愈、APP、客户端统一管理 拓扑可视化、智能运维、支持标准PoE供电、成对包装，免配置、传输稳定不卡顿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C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0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3B0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64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3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等线" w:eastAsia="微软雅黑" w:cs="等线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微软雅黑" w:hAnsi="等线" w:eastAsia="微软雅黑" w:cs="等线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79375</wp:posOffset>
                  </wp:positionV>
                  <wp:extent cx="901700" cy="1008380"/>
                  <wp:effectExtent l="0" t="0" r="12700" b="1270"/>
                  <wp:wrapNone/>
                  <wp:docPr id="3" name="Picture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1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88B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0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F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千兆收发器接收端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A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收发；提供1个千兆电口，1个千兆光口，SC接口；高速无损传输数据信号，传输距离：≥3km；4kV防雷设计，性准工业级设计，可靠性高；工作温度范围支持-20～60℃；单纤数据转发，节约布线成本；散热能力强。即插即用，免配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B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9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135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A5F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等线" w:eastAsia="微软雅黑" w:cs="等线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微软雅黑" w:hAnsi="等线" w:eastAsia="微软雅黑" w:cs="等线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153670</wp:posOffset>
                  </wp:positionV>
                  <wp:extent cx="1079500" cy="723265"/>
                  <wp:effectExtent l="0" t="0" r="6350" b="635"/>
                  <wp:wrapNone/>
                  <wp:docPr id="2" name="Picture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1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20A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F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C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千兆收发器发射端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6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收发；提供1个千兆电口，1个千兆光口，SC接口；高速无损传输数据信号，传输距离：≥3km；4kV防雷设计，性准工业级设计，可靠性高；工作温度范围支持-20～60℃；单纤数据转发，节约布线成本；散热能力强。即插即用，免配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B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5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5C5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E55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9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等线" w:eastAsia="微软雅黑" w:cs="等线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微软雅黑" w:hAnsi="等线" w:eastAsia="微软雅黑" w:cs="等线"/>
                <w:i w:val="0"/>
                <w:iCs w:val="0"/>
                <w:color w:val="000000"/>
                <w:kern w:val="0"/>
                <w:sz w:val="24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400050</wp:posOffset>
                  </wp:positionV>
                  <wp:extent cx="1079500" cy="723265"/>
                  <wp:effectExtent l="0" t="0" r="6350" b="635"/>
                  <wp:wrapNone/>
                  <wp:docPr id="1" name="Picture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1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2D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35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合计金额</w:t>
            </w:r>
          </w:p>
        </w:tc>
        <w:tc>
          <w:tcPr>
            <w:tcW w:w="5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A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                          小写：</w:t>
            </w:r>
          </w:p>
        </w:tc>
      </w:tr>
    </w:tbl>
    <w:p w14:paraId="6185E74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以上报价含税，并包含运输费、人工费、安装费、质保期内服务可能产生的其他费用。</w:t>
      </w:r>
    </w:p>
    <w:p w14:paraId="1672755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68366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6F4EACF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B3D9FF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6A0633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623DE1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2F779A86">
      <w:pPr>
        <w:spacing w:line="240" w:lineRule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期：2025年    月    日</w:t>
      </w:r>
    </w:p>
    <w:p w14:paraId="37C9DE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7F5BE1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19E03F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6"/>
          <w:szCs w:val="36"/>
          <w:lang w:val="en-US" w:eastAsia="zh-CN"/>
        </w:rPr>
        <w:t>服务参数要求</w:t>
      </w:r>
    </w:p>
    <w:p w14:paraId="1894F1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6"/>
          <w:szCs w:val="36"/>
          <w:lang w:val="en-US" w:eastAsia="zh-CN"/>
        </w:rPr>
      </w:pPr>
    </w:p>
    <w:p w14:paraId="28B86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摄像机的镜头型号需按照每个具体的监控区域自行现场勘察；  </w:t>
      </w:r>
    </w:p>
    <w:p w14:paraId="2B814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设备参数全部不得低于上述要求；</w:t>
      </w:r>
    </w:p>
    <w:p w14:paraId="2ABD9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需根据现场实际位置和监控区域，列出对应适用的镜头型号；  </w:t>
      </w:r>
    </w:p>
    <w:p w14:paraId="5ECC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19" w:leftChars="152" w:firstLine="320" w:firstLineChars="100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4.摄像机根据现场利旧连接交换机的型号品种，写出配套适用的摄像机的电源型号，所提供的产品要全部可以无缝联接原有平台；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 </w:t>
      </w:r>
    </w:p>
    <w:p w14:paraId="77855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5.所有设备须提供一年质保；</w:t>
      </w:r>
    </w:p>
    <w:p w14:paraId="7997E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6.供应商必须完全响应招标公告中的全部要求，否则将会导致废标。</w:t>
      </w:r>
    </w:p>
    <w:p w14:paraId="57176787">
      <w:pPr>
        <w:pStyle w:val="3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D285F47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1FF585E">
      <w:pPr>
        <w:pStyle w:val="3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99B701B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B2E48B4">
      <w:pPr>
        <w:pStyle w:val="3"/>
        <w:rPr>
          <w:rFonts w:hint="eastAsia"/>
        </w:rPr>
      </w:pPr>
    </w:p>
    <w:p w14:paraId="2841F73F">
      <w:pPr>
        <w:rPr>
          <w:rFonts w:hint="eastAsia"/>
        </w:rPr>
      </w:pPr>
    </w:p>
    <w:p w14:paraId="33BE9E09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87E1FB0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B619511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5C0109B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法定代表人授权书格式</w:t>
      </w:r>
    </w:p>
    <w:p w14:paraId="07A58BAB"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GB"/>
        </w:rPr>
      </w:pPr>
    </w:p>
    <w:p w14:paraId="0D920CB6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  <w:t>法定代表人授权书</w:t>
      </w:r>
    </w:p>
    <w:p w14:paraId="41E09479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致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：</w:t>
      </w:r>
    </w:p>
    <w:p w14:paraId="1AED54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兹授权：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先生/女士作为我公司的合法授权代理人，</w:t>
      </w:r>
      <w:r>
        <w:rPr>
          <w:rFonts w:hint="eastAsia" w:ascii="宋体" w:hAnsi="宋体" w:eastAsia="宋体" w:cs="宋体"/>
          <w:color w:val="000000"/>
          <w:sz w:val="24"/>
        </w:rPr>
        <w:t>参加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组织的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监控零配件一批采购项目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（采购编号：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BYXJ-202505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活动。</w:t>
      </w:r>
    </w:p>
    <w:p w14:paraId="3531B55E">
      <w:pPr>
        <w:spacing w:line="360" w:lineRule="auto"/>
        <w:ind w:firstLine="463" w:firstLineChars="192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GB"/>
        </w:rPr>
        <w:t>授权权限：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全权代表本公司参与上述项目的采购活动，并负责一切响应文件的提供与确认，其签字与我司公章具有相同的法律效力。有效期限：与件中标注的投标有效期相同，自法定代表人签字之日起生效。</w:t>
      </w:r>
    </w:p>
    <w:p w14:paraId="140833A8">
      <w:pPr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4A66A79B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被授权人：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（亲笔签名）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</w:t>
      </w:r>
    </w:p>
    <w:p w14:paraId="6DBA45DC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0CFF9236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139CE82C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公司名称：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（公章）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 营业执照号码：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</w:p>
    <w:p w14:paraId="1C70543F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法定代表人：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（亲笔签名）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</w:t>
      </w:r>
    </w:p>
    <w:p w14:paraId="1B966657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1FCC7E00">
      <w:pPr>
        <w:spacing w:line="480" w:lineRule="auto"/>
        <w:jc w:val="center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生效日期：20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月   日</w:t>
      </w:r>
    </w:p>
    <w:p w14:paraId="4DC8D887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67310</wp:posOffset>
                </wp:positionV>
                <wp:extent cx="2971800" cy="1910080"/>
                <wp:effectExtent l="4445" t="4445" r="14605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A940BF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411B1F7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60DB9900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5.3pt;height:150.4pt;width:234pt;z-index:251660288;mso-width-relative:page;mso-height-relative:page;" fillcolor="#FFFFFF" filled="t" stroked="t" coordsize="21600,21600" o:gfxdata="UEsDBAoAAAAAAIdO4kAAAAAAAAAAAAAAAAAEAAAAZHJzL1BLAwQUAAAACACHTuJApHCzfNgAAAAK&#10;AQAADwAAAGRycy9kb3ducmV2LnhtbE2PMU/DMBCFdyT+g3VIbK2dFAUa4nQAFYmxTRe2S2ySQHyO&#10;YqcN/HqOCba7e0/vvlfsFjeIs51C70lDslYgLDXe9NRqOFX71QOIEJEMDp6shi8bYFdeXxWYG3+h&#10;gz0fYys4hEKOGroYx1zK0HTWYVj70RJr735yGHmdWmkmvHC4G2SqVCYd9sQfOhztU2ebz+PsNNR9&#10;esLvQ/Wi3Ha/ia9L9TG/PWt9e5OoRxDRLvHPDL/4jA4lM9V+JhPEoGF1n3KXyILKQLBhs834UPOQ&#10;JHcgy0L+r1D+AFBLAwQUAAAACACHTuJANzXPQQgCAAA4BAAADgAAAGRycy9lMm9Eb2MueG1srVNN&#10;rtMwEN4jcQfLe5qk0itt1PQtKGWD4EkPDuDak8SS/2S7TXoaJHYcguMgrsHYKaXvwaILsnBm7PE3&#10;830zXt+PWpEj+CCtaWg1KykBw62Qpmvo50+7V0tKQmRGMGUNNPQEgd5vXr5YD66Gue2tEuAJgphQ&#10;D66hfYyuLorAe9AszKwDg4et9ZpFdH1XCM8GRNeqmJflohisF85bDiHg7nY6pGdEfwugbVvJYWv5&#10;QYOJE6oHxSJSCr10gW5ytW0LPH5s2wCRqIYi05hXTIL2Pq3FZs3qzjPXS34ugd1SwjNOmkmDSS9Q&#10;WxYZOXj5F5SW3Ntg2zjjVhcTkawIsqjKZ9o89sxB5oJSB3cRPfw/WP7h+OCJFA1dUGKYxob//PLt&#10;x/evZJG0GVyoMeTRPfizF9BMRMfW6/RHCmTMep4uesIYCcfN+ep1tSxRao5n1aoqy2VWvPhz3fkQ&#10;34HVJBkN9diwrCM7vg8RU2Lo75CULVglxU4qlR3f7d8oT44Mm7vLX6oZrzwJU4YMDV3dze+wEIYT&#10;2+KkoKkdsg6my/me3AjXwGX+/gWcCtuy0E8FZIQUxmotIyS9WN0DE2+NIPHkUFmDD4qmYjQIShTg&#10;+0tWjoxMqlsikZ0yCRrydJ9VSn2aOpOsOO5HBE3m3ooTNvjgvOx6FLjKRNIJDlTW6jz8aWKvfbSv&#10;H/z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Rws3zYAAAACgEAAA8AAAAAAAAAAQAgAAAAIgAA&#10;AGRycy9kb3ducmV2LnhtbFBLAQIUABQAAAAIAIdO4kA3Nc9B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A940BF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411B1F7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60DB9900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67310</wp:posOffset>
                </wp:positionV>
                <wp:extent cx="2857500" cy="1910080"/>
                <wp:effectExtent l="4445" t="5080" r="1460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19A8313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7138FC91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63FA29BA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5.3pt;height:150.4pt;width:225pt;z-index:251661312;mso-width-relative:page;mso-height-relative:page;" fillcolor="#FFFFFF" filled="t" stroked="t" coordsize="21600,21600" o:gfxdata="UEsDBAoAAAAAAIdO4kAAAAAAAAAAAAAAAAAEAAAAZHJzL1BLAwQUAAAACACHTuJAzabmyNgAAAAK&#10;AQAADwAAAGRycy9kb3ducmV2LnhtbE2PwU7DMBBE70j8g7VI3KidtlRtiNMDqEgc2/TS2yY2SSBe&#10;R7HTBr6e7Yked2Y0+ybbTq4TZzuE1pOGZKZAWKq8aanWcCx2T2sQISIZ7DxZDT82wDa/v8swNf5C&#10;e3s+xFpwCYUUNTQx9qmUoWqswzDzvSX2Pv3gMPI51NIMeOFy18m5UivpsCX+0GBvXxtbfR9Gp6Fs&#10;50f83Rfvym12i/gxFV/j6U3rx4dEvYCIdor/YbjiMzrkzFT6kUwQnYbls+ItkQ21AsGBjboKpYZF&#10;kixB5pm8nZD/AVBLAwQUAAAACACHTuJAAiyfQwgCAAA4BAAADgAAAGRycy9lMm9Eb2MueG1srVNN&#10;rtMwEN4jcQfLe5q0Umlf1PQtKGWD4EkPDjB1Jokl/8l2m/Q0SOw4BMdBXIOxW0rfg0UXZOHM2ONv&#10;5vtmvLoftWIH9EFaU/PppOQMjbCNNF3NP3/avlpyFiKYBpQ1WPMjBn6/fvliNbgKZ7a3qkHPCMSE&#10;anA172N0VVEE0aOGMLEODR221muI5PquaDwMhK5VMSvL18VgfeO8FRgC7W5Oh/yM6G8BtG0rBW6s&#10;2Gs08YTqUUEkSqGXLvB1rrZtUcSPbRswMlVzYhrzSknI3qW1WK+g6jy4XopzCXBLCc84aZCGkl6g&#10;NhCB7b38C0pL4W2wbZwIq4sTkawIsZiWz7R57MFh5kJSB3cRPfw/WPHh8OCZbGq+4MyApob//PLt&#10;x/evbJG0GVyoKOTRPfizF8hMRMfW6/QnCmzMeh4veuIYmaDN2XK+mJcktaCz6d20LJdZ8eLPdedD&#10;fIdWs2TU3FPDso5weB8ipaTQ3yEpW7BKNlupVHZ8t3ujPDsANXebv1QzXXkSpgwban43n82pEKCJ&#10;bWlSyNSOWAfT5XxPboRr4DJ//wJOhW0g9KcCMkIKg0rLiEkvqHqE5q1pWDw6UtbQg+KpGI0NZwrp&#10;/SUrR0aQ6pZIYqdMgsY83WeVUp9OnUlWHHcjgSZzZ5sjNXjvvOx6EniaiaQTGqis1Xn408Re+2Rf&#10;P/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2m5sjYAAAACgEAAA8AAAAAAAAAAQAgAAAAIgAA&#10;AGRycy9kb3ducmV2LnhtbFBLAQIUABQAAAAIAIdO4kACLJ9D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9A8313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7138FC91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63FA29BA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05C1C444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461CBB7A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032CA8B0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7D11F2E9">
      <w:pP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</w:pPr>
    </w:p>
    <w:p w14:paraId="4D75F55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  <w:t>注：本授权书内容不得擅自修改。</w:t>
      </w:r>
    </w:p>
    <w:sectPr>
      <w:pgSz w:w="11906" w:h="16838"/>
      <w:pgMar w:top="1327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501EE6"/>
    <w:rsid w:val="007717C2"/>
    <w:rsid w:val="01431A4A"/>
    <w:rsid w:val="01DF6ED8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4D12859"/>
    <w:rsid w:val="05340028"/>
    <w:rsid w:val="055D1B3F"/>
    <w:rsid w:val="05AF01F7"/>
    <w:rsid w:val="05BA6F95"/>
    <w:rsid w:val="06053772"/>
    <w:rsid w:val="061E5687"/>
    <w:rsid w:val="062E2CC9"/>
    <w:rsid w:val="07B359C8"/>
    <w:rsid w:val="07FD356E"/>
    <w:rsid w:val="08055CAB"/>
    <w:rsid w:val="08E6788B"/>
    <w:rsid w:val="091D2944"/>
    <w:rsid w:val="094B74DC"/>
    <w:rsid w:val="09E8472B"/>
    <w:rsid w:val="0AF81AF7"/>
    <w:rsid w:val="0BC53CE2"/>
    <w:rsid w:val="0D166265"/>
    <w:rsid w:val="0D3C0F87"/>
    <w:rsid w:val="0D5D3E94"/>
    <w:rsid w:val="0E6A4ABA"/>
    <w:rsid w:val="0EE54565"/>
    <w:rsid w:val="0FED14FF"/>
    <w:rsid w:val="11155A6F"/>
    <w:rsid w:val="112260EC"/>
    <w:rsid w:val="126F08F1"/>
    <w:rsid w:val="13315BA7"/>
    <w:rsid w:val="13685340"/>
    <w:rsid w:val="139B5716"/>
    <w:rsid w:val="1525173B"/>
    <w:rsid w:val="152754B3"/>
    <w:rsid w:val="158900E3"/>
    <w:rsid w:val="15E62031"/>
    <w:rsid w:val="164F4B0E"/>
    <w:rsid w:val="172609C6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D9A0395"/>
    <w:rsid w:val="1E461E83"/>
    <w:rsid w:val="1F004D2E"/>
    <w:rsid w:val="1F86727A"/>
    <w:rsid w:val="1FE53BC7"/>
    <w:rsid w:val="207E61A3"/>
    <w:rsid w:val="2107136B"/>
    <w:rsid w:val="211D59BC"/>
    <w:rsid w:val="22B20386"/>
    <w:rsid w:val="22C5630B"/>
    <w:rsid w:val="23733FB9"/>
    <w:rsid w:val="23955CDE"/>
    <w:rsid w:val="23B92805"/>
    <w:rsid w:val="244B45EE"/>
    <w:rsid w:val="251946ED"/>
    <w:rsid w:val="253F4091"/>
    <w:rsid w:val="25BA5ED0"/>
    <w:rsid w:val="275B0A3D"/>
    <w:rsid w:val="28602A2B"/>
    <w:rsid w:val="28BA1D43"/>
    <w:rsid w:val="28E13773"/>
    <w:rsid w:val="29244625"/>
    <w:rsid w:val="294A1318"/>
    <w:rsid w:val="2B113AC0"/>
    <w:rsid w:val="2B1C6CE5"/>
    <w:rsid w:val="2B407FEB"/>
    <w:rsid w:val="2BDF043E"/>
    <w:rsid w:val="2C525535"/>
    <w:rsid w:val="2ED50E10"/>
    <w:rsid w:val="2F683E67"/>
    <w:rsid w:val="302C533B"/>
    <w:rsid w:val="31A9266A"/>
    <w:rsid w:val="31CF5C1D"/>
    <w:rsid w:val="31E4154A"/>
    <w:rsid w:val="31F041C4"/>
    <w:rsid w:val="32543208"/>
    <w:rsid w:val="33B54E5D"/>
    <w:rsid w:val="33F22CD8"/>
    <w:rsid w:val="34A749EE"/>
    <w:rsid w:val="35466ACD"/>
    <w:rsid w:val="35A25C9B"/>
    <w:rsid w:val="35E5565D"/>
    <w:rsid w:val="361A4FED"/>
    <w:rsid w:val="36CE17DB"/>
    <w:rsid w:val="370D205E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D0D2931"/>
    <w:rsid w:val="3DF56C47"/>
    <w:rsid w:val="3E104487"/>
    <w:rsid w:val="3EA64DEB"/>
    <w:rsid w:val="3EE85404"/>
    <w:rsid w:val="3F0F7DFC"/>
    <w:rsid w:val="3F8213B4"/>
    <w:rsid w:val="40552625"/>
    <w:rsid w:val="405D597D"/>
    <w:rsid w:val="4246496D"/>
    <w:rsid w:val="42902152"/>
    <w:rsid w:val="43413334"/>
    <w:rsid w:val="446E31AD"/>
    <w:rsid w:val="44A1408B"/>
    <w:rsid w:val="44DF49AB"/>
    <w:rsid w:val="452B604A"/>
    <w:rsid w:val="45A85EAB"/>
    <w:rsid w:val="461070BE"/>
    <w:rsid w:val="46560EA5"/>
    <w:rsid w:val="46787B82"/>
    <w:rsid w:val="474D04FA"/>
    <w:rsid w:val="47B02837"/>
    <w:rsid w:val="48A028AB"/>
    <w:rsid w:val="48CB5B7A"/>
    <w:rsid w:val="497418F4"/>
    <w:rsid w:val="49865F45"/>
    <w:rsid w:val="49A62143"/>
    <w:rsid w:val="4A203CA4"/>
    <w:rsid w:val="4ABA5EA6"/>
    <w:rsid w:val="4AC40AD3"/>
    <w:rsid w:val="4B313C8F"/>
    <w:rsid w:val="4B9B38DE"/>
    <w:rsid w:val="4CF11927"/>
    <w:rsid w:val="4DCD4142"/>
    <w:rsid w:val="4DDA7F7C"/>
    <w:rsid w:val="4E712D20"/>
    <w:rsid w:val="4EEB31C1"/>
    <w:rsid w:val="4FCB5FB2"/>
    <w:rsid w:val="500B0F52"/>
    <w:rsid w:val="50C03AEB"/>
    <w:rsid w:val="516E1798"/>
    <w:rsid w:val="51A67184"/>
    <w:rsid w:val="522D51B0"/>
    <w:rsid w:val="528F202D"/>
    <w:rsid w:val="52A25112"/>
    <w:rsid w:val="53D004E8"/>
    <w:rsid w:val="54A61249"/>
    <w:rsid w:val="54F621D1"/>
    <w:rsid w:val="55945546"/>
    <w:rsid w:val="55A75252"/>
    <w:rsid w:val="56C8194B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6774D0"/>
    <w:rsid w:val="5CF54B1C"/>
    <w:rsid w:val="5D3F223B"/>
    <w:rsid w:val="5D4E06D0"/>
    <w:rsid w:val="5DEF58DB"/>
    <w:rsid w:val="5E316028"/>
    <w:rsid w:val="5F155949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14135"/>
    <w:rsid w:val="65CC59A3"/>
    <w:rsid w:val="65EA02AB"/>
    <w:rsid w:val="66027411"/>
    <w:rsid w:val="66466D22"/>
    <w:rsid w:val="67044388"/>
    <w:rsid w:val="675E0EE9"/>
    <w:rsid w:val="689D3399"/>
    <w:rsid w:val="692D1AE1"/>
    <w:rsid w:val="694F1A58"/>
    <w:rsid w:val="69A26810"/>
    <w:rsid w:val="6AA336F8"/>
    <w:rsid w:val="6AB159AD"/>
    <w:rsid w:val="6AE54422"/>
    <w:rsid w:val="6B5C220A"/>
    <w:rsid w:val="6BB65DBE"/>
    <w:rsid w:val="6C0B435C"/>
    <w:rsid w:val="6C4433CA"/>
    <w:rsid w:val="6C692E30"/>
    <w:rsid w:val="6EB32A89"/>
    <w:rsid w:val="6EC627BC"/>
    <w:rsid w:val="6EC66318"/>
    <w:rsid w:val="6FEA24DA"/>
    <w:rsid w:val="70E8272C"/>
    <w:rsid w:val="71CE58C0"/>
    <w:rsid w:val="721C2EA3"/>
    <w:rsid w:val="72431B05"/>
    <w:rsid w:val="738844E4"/>
    <w:rsid w:val="73A3131E"/>
    <w:rsid w:val="73FC458A"/>
    <w:rsid w:val="740C62FA"/>
    <w:rsid w:val="74566390"/>
    <w:rsid w:val="74D5034D"/>
    <w:rsid w:val="758938E4"/>
    <w:rsid w:val="75E1612D"/>
    <w:rsid w:val="77640CC8"/>
    <w:rsid w:val="77B80B76"/>
    <w:rsid w:val="783224F8"/>
    <w:rsid w:val="7A886B78"/>
    <w:rsid w:val="7AB827A3"/>
    <w:rsid w:val="7AD1051F"/>
    <w:rsid w:val="7BAC2D3A"/>
    <w:rsid w:val="7BC65BA9"/>
    <w:rsid w:val="7C5238E1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9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paragraph" w:styleId="11">
    <w:name w:val="Body Text First Indent"/>
    <w:basedOn w:val="6"/>
    <w:next w:val="8"/>
    <w:autoRedefine/>
    <w:unhideWhenUsed/>
    <w:qFormat/>
    <w:uiPriority w:val="99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6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7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0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2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28">
    <w:name w:val="表"/>
    <w:basedOn w:val="12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29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0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1">
    <w:name w:val="font1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1931</Words>
  <Characters>2218</Characters>
  <Lines>0</Lines>
  <Paragraphs>0</Paragraphs>
  <TotalTime>3</TotalTime>
  <ScaleCrop>false</ScaleCrop>
  <LinksUpToDate>false</LinksUpToDate>
  <CharactersWithSpaces>2562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2025-11-12T01:35:00Z</cp:lastPrinted>
  <dcterms:modified xsi:type="dcterms:W3CDTF">2025-12-04T02:49:45Z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